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CALIFORNIA EXPERIMENTAL SUBJECTS’ BILL OF RIGHTS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lineRule="auto"/>
        <w:rPr>
          <w:rFonts w:ascii="Times New Roman" w:cs="Times New Roman" w:eastAsia="Times New Roman" w:hAnsi="Times New Roman"/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Per California law, as a person asked to take part as a subject in research involving a medical experiment you have the right to: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informed of the nature and purpose of the experiment.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an explanation of the procedures to be followed in the medical experiment, and any drug or device to be utilized.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a description of any attendant discomforts and risks reasonably to be expected from the experiment.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an explanation of any benefits to the subject reasonably to be expected from the experiment, if applicable.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a disclosure of any appropriate alternative procedures, drugs or devices that might be advantageous to the subject, and their relative risks and benefits.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informed of the avenues of medical treatment, if any, available to the subject after the experiment if complications should arise.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the opportunity to ask any questions concerning the experiment or the procedures involved.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instructed that consent to participate in the medical experiment may be withdrawn at any time and the subject may discontinue participation in the medical experiment without prejudice.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a copy of the signed and dated written consent form.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Be given the opportunity to decide to consent or not to consent to a medical experiment without the intervention of any elements of force, fraud, deceit, duress, coercion, or undue influence on the subject’s decision.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710" w:top="990" w:left="1120" w:right="10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320"/>
        <w:tab w:val="right" w:pos="8640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320"/>
        <w:tab w:val="right" w:pos="8640"/>
      </w:tabs>
      <w:ind w:right="36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680"/>
        <w:tab w:val="right" w:pos="9360"/>
      </w:tabs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CA Experimental Subjects Bill of Rights - v2-3-2021</w:t>
      <w:tab/>
      <w:tab/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left" w:pos="214"/>
        <w:tab w:val="center" w:pos="4320"/>
        <w:tab w:val="right" w:pos="8640"/>
        <w:tab w:val="right" w:pos="10080"/>
      </w:tabs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18">
    <w:pPr>
      <w:ind w:left="200" w:right="36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ind w:left="200" w:firstLine="0"/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</w:rPr>
      <w:drawing>
        <wp:inline distB="0" distT="0" distL="0" distR="0">
          <wp:extent cx="2171700" cy="693738"/>
          <wp:effectExtent b="0" l="0" r="0" t="0"/>
          <wp:docPr descr="Macintosh HD:Users:egolson:Downloads:ucsc-stack.jpg" id="8" name="image1.jpg"/>
          <a:graphic>
            <a:graphicData uri="http://schemas.openxmlformats.org/drawingml/2006/picture">
              <pic:pic>
                <pic:nvPicPr>
                  <pic:cNvPr descr="Macintosh HD:Users:egolson:Downloads:ucsc-stack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693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Office of Research Compliance Administration</w:t>
      <w:tab/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CF7DD0"/>
    <w:rPr>
      <w:rFonts w:ascii="Times New Roman" w:cs="Times New Roman" w:hAnsi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CF7DD0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5DA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5DAD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B5DA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5DAD"/>
  </w:style>
  <w:style w:type="paragraph" w:styleId="Footer">
    <w:name w:val="footer"/>
    <w:basedOn w:val="Normal"/>
    <w:link w:val="FooterChar"/>
    <w:uiPriority w:val="99"/>
    <w:unhideWhenUsed w:val="1"/>
    <w:rsid w:val="00CB5DA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5DAD"/>
  </w:style>
  <w:style w:type="paragraph" w:styleId="firstline" w:customStyle="1">
    <w:name w:val="firstline"/>
    <w:basedOn w:val="Normal"/>
    <w:rsid w:val="0033218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33218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DGxU+PGNVM0dNBm1QUioENqYg==">AMUW2mXLCOTODeibzHhmnDPZNccDkTE/Ig94rjMed2k4cxX+XFBGBM1pDVrIOci4DBcT3C9MpxSKt3hlqbcCIONViG18CGCOp0fxf71Bw/QWkb54Y7kiI/BMwuhVxBktLvqH9biYdnfzRRz4G1poBrRr5gS1fUZuZrBwyVWooF+WZgbZznH7oDsBocQaICLRZTaQzNnRxqCmS062dYph1Oc73ibJlCVfU5FjS5b6y0b0I7gI6RaJOyFXdJqEM7HEzwLoF1IWUm8r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2018-08-21T23:29:00Z</dcterms:created>
</cp:coreProperties>
</file>