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D58C8" w14:textId="77777777" w:rsidR="00C702A0" w:rsidRDefault="00C702A0" w:rsidP="00C702A0">
      <w:pPr>
        <w:rPr>
          <w:rFonts w:ascii="Helvetica" w:hAnsi="Helvetica" w:cs="Helvetica"/>
          <w:sz w:val="36"/>
          <w:szCs w:val="36"/>
        </w:rPr>
      </w:pPr>
    </w:p>
    <w:p w14:paraId="2203C806" w14:textId="77777777" w:rsidR="00CB7FDC" w:rsidRPr="00CB7FDC" w:rsidRDefault="00CB7FDC" w:rsidP="00C702A0">
      <w:pPr>
        <w:widowControl w:val="0"/>
        <w:numPr>
          <w:ilvl w:val="0"/>
          <w:numId w:val="1"/>
        </w:numPr>
        <w:tabs>
          <w:tab w:val="left" w:pos="220"/>
          <w:tab w:val="left" w:pos="720"/>
        </w:tabs>
        <w:autoSpaceDE w:val="0"/>
        <w:autoSpaceDN w:val="0"/>
        <w:adjustRightInd w:val="0"/>
        <w:ind w:hanging="720"/>
        <w:rPr>
          <w:rFonts w:ascii="Arial" w:hAnsi="Arial" w:cs="Arial"/>
          <w:color w:val="262626"/>
          <w:sz w:val="40"/>
          <w:szCs w:val="28"/>
        </w:rPr>
      </w:pPr>
      <w:r w:rsidRPr="00CB7FDC">
        <w:rPr>
          <w:rFonts w:ascii="Arial" w:hAnsi="Arial" w:cs="Arial"/>
          <w:color w:val="262626"/>
          <w:sz w:val="40"/>
          <w:szCs w:val="28"/>
        </w:rPr>
        <w:t>Fly America Act</w:t>
      </w:r>
    </w:p>
    <w:p w14:paraId="061D6015" w14:textId="77777777" w:rsidR="00C702A0" w:rsidRDefault="00C702A0" w:rsidP="00CB7FDC">
      <w:pPr>
        <w:widowControl w:val="0"/>
        <w:tabs>
          <w:tab w:val="left" w:pos="220"/>
          <w:tab w:val="left" w:pos="720"/>
        </w:tabs>
        <w:autoSpaceDE w:val="0"/>
        <w:autoSpaceDN w:val="0"/>
        <w:adjustRightInd w:val="0"/>
        <w:rPr>
          <w:rFonts w:ascii="Arial" w:hAnsi="Arial" w:cs="Arial"/>
          <w:color w:val="262626"/>
          <w:sz w:val="28"/>
          <w:szCs w:val="28"/>
        </w:rPr>
      </w:pPr>
    </w:p>
    <w:p w14:paraId="2FFBA733" w14:textId="77777777" w:rsidR="00C702A0" w:rsidRPr="00A965A5" w:rsidRDefault="00CB7FDC" w:rsidP="00C702A0">
      <w:pPr>
        <w:widowControl w:val="0"/>
        <w:autoSpaceDE w:val="0"/>
        <w:autoSpaceDN w:val="0"/>
        <w:adjustRightInd w:val="0"/>
        <w:spacing w:after="350"/>
        <w:rPr>
          <w:rFonts w:ascii="Arial" w:hAnsi="Arial" w:cs="Arial"/>
          <w:sz w:val="28"/>
          <w:szCs w:val="28"/>
        </w:rPr>
      </w:pPr>
      <w:r w:rsidRPr="00A965A5">
        <w:rPr>
          <w:rFonts w:ascii="Arial" w:hAnsi="Arial" w:cs="Arial"/>
          <w:b/>
          <w:sz w:val="28"/>
          <w:szCs w:val="28"/>
        </w:rPr>
        <w:t>The Fly America Act</w:t>
      </w:r>
      <w:r w:rsidRPr="00A965A5">
        <w:rPr>
          <w:rFonts w:ascii="Arial" w:hAnsi="Arial" w:cs="Arial"/>
          <w:sz w:val="28"/>
          <w:szCs w:val="28"/>
        </w:rPr>
        <w:t xml:space="preserve"> is a </w:t>
      </w:r>
      <w:r w:rsidR="00C702A0" w:rsidRPr="00A965A5">
        <w:rPr>
          <w:rFonts w:ascii="Arial" w:hAnsi="Arial" w:cs="Arial"/>
          <w:sz w:val="28"/>
          <w:szCs w:val="28"/>
        </w:rPr>
        <w:t xml:space="preserve">federal regulation that requires the use of U.S. carriers for travel </w:t>
      </w:r>
      <w:r w:rsidRPr="00A965A5">
        <w:rPr>
          <w:rFonts w:ascii="Arial" w:hAnsi="Arial" w:cs="Arial"/>
          <w:sz w:val="28"/>
          <w:szCs w:val="28"/>
        </w:rPr>
        <w:t>funded</w:t>
      </w:r>
      <w:r w:rsidR="00C702A0" w:rsidRPr="00A965A5">
        <w:rPr>
          <w:rFonts w:ascii="Arial" w:hAnsi="Arial" w:cs="Arial"/>
          <w:sz w:val="28"/>
          <w:szCs w:val="28"/>
        </w:rPr>
        <w:t xml:space="preserve"> from federal grants and contracts.</w:t>
      </w:r>
    </w:p>
    <w:p w14:paraId="644A1163" w14:textId="77777777" w:rsidR="00C702A0" w:rsidRDefault="00C702A0" w:rsidP="00C702A0">
      <w:pPr>
        <w:widowControl w:val="0"/>
        <w:autoSpaceDE w:val="0"/>
        <w:autoSpaceDN w:val="0"/>
        <w:adjustRightInd w:val="0"/>
        <w:spacing w:after="280"/>
        <w:rPr>
          <w:rFonts w:ascii="Arial" w:hAnsi="Arial" w:cs="Arial"/>
          <w:color w:val="262626"/>
          <w:sz w:val="28"/>
          <w:szCs w:val="28"/>
        </w:rPr>
      </w:pPr>
      <w:bookmarkStart w:id="0" w:name="_GoBack"/>
      <w:r>
        <w:rPr>
          <w:rFonts w:ascii="Arial" w:hAnsi="Arial" w:cs="Arial"/>
          <w:b/>
          <w:bCs/>
          <w:color w:val="262626"/>
          <w:sz w:val="28"/>
          <w:szCs w:val="28"/>
        </w:rPr>
        <w:t>Before making arrangements</w:t>
      </w:r>
      <w:r>
        <w:rPr>
          <w:rFonts w:ascii="Arial" w:hAnsi="Arial" w:cs="Arial"/>
          <w:color w:val="262626"/>
          <w:sz w:val="28"/>
          <w:szCs w:val="28"/>
        </w:rPr>
        <w:t xml:space="preserve"> for air travel for UC business</w:t>
      </w:r>
      <w:bookmarkEnd w:id="0"/>
      <w:r>
        <w:rPr>
          <w:rFonts w:ascii="Arial" w:hAnsi="Arial" w:cs="Arial"/>
          <w:color w:val="262626"/>
          <w:sz w:val="28"/>
          <w:szCs w:val="28"/>
        </w:rPr>
        <w:t>, find out about the funding type and, if applicable, ensure the booking is in accordance with the Act. If you feel an exception applies, consult with your analyst as certification may be required. Compliance with the Fly America Act is the responsibility of each department.</w:t>
      </w:r>
    </w:p>
    <w:p w14:paraId="0889F635" w14:textId="77777777" w:rsidR="00C702A0" w:rsidRDefault="00C702A0" w:rsidP="00C702A0">
      <w:pPr>
        <w:widowControl w:val="0"/>
        <w:autoSpaceDE w:val="0"/>
        <w:autoSpaceDN w:val="0"/>
        <w:adjustRightInd w:val="0"/>
        <w:spacing w:after="280"/>
        <w:rPr>
          <w:rFonts w:ascii="Arial" w:hAnsi="Arial" w:cs="Arial"/>
          <w:color w:val="262626"/>
          <w:sz w:val="28"/>
          <w:szCs w:val="28"/>
        </w:rPr>
      </w:pPr>
      <w:r>
        <w:rPr>
          <w:rFonts w:ascii="Arial" w:hAnsi="Arial" w:cs="Arial"/>
          <w:b/>
          <w:bCs/>
          <w:color w:val="262626"/>
          <w:sz w:val="28"/>
          <w:szCs w:val="28"/>
        </w:rPr>
        <w:t>Exceptions to the Fly America Act:</w:t>
      </w:r>
      <w:r>
        <w:rPr>
          <w:rFonts w:ascii="Arial" w:hAnsi="Arial" w:cs="Arial"/>
          <w:color w:val="262626"/>
          <w:sz w:val="28"/>
          <w:szCs w:val="28"/>
        </w:rPr>
        <w:t xml:space="preserve"> Travel that is to be reimbursed from federal grants and contracts must be booked through U.S. carriers except in the following circumstances:</w:t>
      </w:r>
    </w:p>
    <w:p w14:paraId="2FB710AB" w14:textId="77777777" w:rsidR="00C702A0" w:rsidRDefault="00C702A0" w:rsidP="00C702A0">
      <w:pPr>
        <w:widowControl w:val="0"/>
        <w:numPr>
          <w:ilvl w:val="0"/>
          <w:numId w:val="2"/>
        </w:numPr>
        <w:tabs>
          <w:tab w:val="left" w:pos="220"/>
          <w:tab w:val="left" w:pos="720"/>
        </w:tabs>
        <w:autoSpaceDE w:val="0"/>
        <w:autoSpaceDN w:val="0"/>
        <w:adjustRightInd w:val="0"/>
        <w:spacing w:after="70"/>
        <w:ind w:hanging="720"/>
        <w:rPr>
          <w:rFonts w:ascii="Arial" w:hAnsi="Arial" w:cs="Arial"/>
          <w:color w:val="262626"/>
          <w:sz w:val="28"/>
          <w:szCs w:val="28"/>
        </w:rPr>
      </w:pPr>
      <w:r>
        <w:rPr>
          <w:rFonts w:ascii="Arial" w:hAnsi="Arial" w:cs="Arial"/>
          <w:color w:val="262626"/>
          <w:sz w:val="28"/>
          <w:szCs w:val="28"/>
        </w:rPr>
        <w:tab/>
      </w:r>
      <w:r>
        <w:rPr>
          <w:rFonts w:ascii="Arial" w:hAnsi="Arial" w:cs="Arial"/>
          <w:color w:val="262626"/>
          <w:sz w:val="28"/>
          <w:szCs w:val="28"/>
        </w:rPr>
        <w:tab/>
        <w:t>When the use of U.S. carrier service would extend travel time (including delay at origin) by 24 hours or more</w:t>
      </w:r>
    </w:p>
    <w:p w14:paraId="1D07398E" w14:textId="77777777" w:rsidR="00C702A0" w:rsidRDefault="00C702A0" w:rsidP="00C702A0">
      <w:pPr>
        <w:widowControl w:val="0"/>
        <w:numPr>
          <w:ilvl w:val="0"/>
          <w:numId w:val="2"/>
        </w:numPr>
        <w:tabs>
          <w:tab w:val="left" w:pos="220"/>
          <w:tab w:val="left" w:pos="720"/>
        </w:tabs>
        <w:autoSpaceDE w:val="0"/>
        <w:autoSpaceDN w:val="0"/>
        <w:adjustRightInd w:val="0"/>
        <w:spacing w:after="70"/>
        <w:ind w:hanging="720"/>
        <w:rPr>
          <w:rFonts w:ascii="Arial" w:hAnsi="Arial" w:cs="Arial"/>
          <w:color w:val="262626"/>
          <w:sz w:val="28"/>
          <w:szCs w:val="28"/>
        </w:rPr>
      </w:pPr>
      <w:r>
        <w:rPr>
          <w:rFonts w:ascii="Arial" w:hAnsi="Arial" w:cs="Arial"/>
          <w:color w:val="262626"/>
          <w:sz w:val="28"/>
          <w:szCs w:val="28"/>
        </w:rPr>
        <w:tab/>
      </w:r>
      <w:r>
        <w:rPr>
          <w:rFonts w:ascii="Arial" w:hAnsi="Arial" w:cs="Arial"/>
          <w:color w:val="262626"/>
          <w:sz w:val="28"/>
          <w:szCs w:val="28"/>
        </w:rPr>
        <w:tab/>
        <w:t>When the costs of transportation are reimbursed in full by a third party, such as a foreign government or an international agency</w:t>
      </w:r>
    </w:p>
    <w:p w14:paraId="3937B05D" w14:textId="77777777" w:rsidR="00C702A0" w:rsidRDefault="00C702A0" w:rsidP="00C702A0">
      <w:pPr>
        <w:widowControl w:val="0"/>
        <w:numPr>
          <w:ilvl w:val="0"/>
          <w:numId w:val="2"/>
        </w:numPr>
        <w:tabs>
          <w:tab w:val="left" w:pos="220"/>
          <w:tab w:val="left" w:pos="720"/>
        </w:tabs>
        <w:autoSpaceDE w:val="0"/>
        <w:autoSpaceDN w:val="0"/>
        <w:adjustRightInd w:val="0"/>
        <w:spacing w:after="70"/>
        <w:ind w:hanging="720"/>
        <w:rPr>
          <w:rFonts w:ascii="Arial" w:hAnsi="Arial" w:cs="Arial"/>
          <w:color w:val="262626"/>
          <w:sz w:val="28"/>
          <w:szCs w:val="28"/>
        </w:rPr>
      </w:pPr>
      <w:r>
        <w:rPr>
          <w:rFonts w:ascii="Arial" w:hAnsi="Arial" w:cs="Arial"/>
          <w:color w:val="262626"/>
          <w:sz w:val="28"/>
          <w:szCs w:val="28"/>
        </w:rPr>
        <w:tab/>
      </w:r>
      <w:r>
        <w:rPr>
          <w:rFonts w:ascii="Arial" w:hAnsi="Arial" w:cs="Arial"/>
          <w:color w:val="262626"/>
          <w:sz w:val="28"/>
          <w:szCs w:val="28"/>
        </w:rPr>
        <w:tab/>
        <w:t>When U.S. carriers do not offer nonstop or direct service between origin and destination. However, a U.S. carrier must be used on every portion of the route where it provides service unless, when compared to using a foreign air carrier, such use would:</w:t>
      </w:r>
    </w:p>
    <w:p w14:paraId="2875A6F8" w14:textId="77777777" w:rsidR="00C702A0" w:rsidRDefault="00C702A0" w:rsidP="00C702A0">
      <w:pPr>
        <w:widowControl w:val="0"/>
        <w:numPr>
          <w:ilvl w:val="1"/>
          <w:numId w:val="2"/>
        </w:numPr>
        <w:tabs>
          <w:tab w:val="left" w:pos="940"/>
          <w:tab w:val="left" w:pos="1440"/>
        </w:tabs>
        <w:autoSpaceDE w:val="0"/>
        <w:autoSpaceDN w:val="0"/>
        <w:adjustRightInd w:val="0"/>
        <w:spacing w:after="70"/>
        <w:ind w:hanging="1440"/>
        <w:rPr>
          <w:rFonts w:ascii="Arial" w:hAnsi="Arial" w:cs="Arial"/>
          <w:color w:val="262626"/>
          <w:sz w:val="28"/>
          <w:szCs w:val="28"/>
        </w:rPr>
      </w:pPr>
      <w:r>
        <w:rPr>
          <w:rFonts w:ascii="Arial" w:hAnsi="Arial" w:cs="Arial"/>
          <w:color w:val="262626"/>
          <w:sz w:val="28"/>
          <w:szCs w:val="28"/>
        </w:rPr>
        <w:t>Increase the number of aircraft changes outside the United States by two or more</w:t>
      </w:r>
    </w:p>
    <w:p w14:paraId="44934100" w14:textId="77777777" w:rsidR="00C702A0" w:rsidRDefault="00C702A0" w:rsidP="00C702A0">
      <w:pPr>
        <w:widowControl w:val="0"/>
        <w:numPr>
          <w:ilvl w:val="1"/>
          <w:numId w:val="2"/>
        </w:numPr>
        <w:tabs>
          <w:tab w:val="left" w:pos="940"/>
          <w:tab w:val="left" w:pos="1440"/>
        </w:tabs>
        <w:autoSpaceDE w:val="0"/>
        <w:autoSpaceDN w:val="0"/>
        <w:adjustRightInd w:val="0"/>
        <w:spacing w:after="70"/>
        <w:ind w:hanging="1440"/>
        <w:rPr>
          <w:rFonts w:ascii="Arial" w:hAnsi="Arial" w:cs="Arial"/>
          <w:color w:val="262626"/>
          <w:sz w:val="28"/>
          <w:szCs w:val="28"/>
        </w:rPr>
      </w:pPr>
      <w:r>
        <w:rPr>
          <w:rFonts w:ascii="Arial" w:hAnsi="Arial" w:cs="Arial"/>
          <w:color w:val="262626"/>
          <w:sz w:val="28"/>
          <w:szCs w:val="28"/>
        </w:rPr>
        <w:t>Extend travel time by at least six hours or more</w:t>
      </w:r>
    </w:p>
    <w:p w14:paraId="60316CB9" w14:textId="77777777" w:rsidR="00C702A0" w:rsidRDefault="00C702A0" w:rsidP="00C702A0">
      <w:pPr>
        <w:widowControl w:val="0"/>
        <w:numPr>
          <w:ilvl w:val="1"/>
          <w:numId w:val="2"/>
        </w:numPr>
        <w:tabs>
          <w:tab w:val="left" w:pos="940"/>
          <w:tab w:val="left" w:pos="1440"/>
        </w:tabs>
        <w:autoSpaceDE w:val="0"/>
        <w:autoSpaceDN w:val="0"/>
        <w:adjustRightInd w:val="0"/>
        <w:spacing w:after="70"/>
        <w:ind w:hanging="1440"/>
        <w:rPr>
          <w:rFonts w:ascii="Arial" w:hAnsi="Arial" w:cs="Arial"/>
          <w:color w:val="262626"/>
          <w:sz w:val="28"/>
          <w:szCs w:val="28"/>
        </w:rPr>
      </w:pPr>
      <w:r>
        <w:rPr>
          <w:rFonts w:ascii="Arial" w:hAnsi="Arial" w:cs="Arial"/>
          <w:color w:val="262626"/>
          <w:sz w:val="28"/>
          <w:szCs w:val="28"/>
        </w:rPr>
        <w:t>Require a connecting time of four hours or more at an overseas interchange point.</w:t>
      </w:r>
    </w:p>
    <w:p w14:paraId="6324D93C" w14:textId="77777777" w:rsidR="00C702A0" w:rsidRDefault="00C702A0" w:rsidP="00C702A0">
      <w:pPr>
        <w:widowControl w:val="0"/>
        <w:numPr>
          <w:ilvl w:val="0"/>
          <w:numId w:val="2"/>
        </w:numPr>
        <w:tabs>
          <w:tab w:val="left" w:pos="220"/>
          <w:tab w:val="left" w:pos="720"/>
        </w:tabs>
        <w:autoSpaceDE w:val="0"/>
        <w:autoSpaceDN w:val="0"/>
        <w:adjustRightInd w:val="0"/>
        <w:spacing w:after="70"/>
        <w:ind w:hanging="720"/>
        <w:rPr>
          <w:rFonts w:ascii="Arial" w:hAnsi="Arial" w:cs="Arial"/>
          <w:color w:val="262626"/>
          <w:sz w:val="28"/>
          <w:szCs w:val="28"/>
        </w:rPr>
      </w:pPr>
      <w:r>
        <w:rPr>
          <w:rFonts w:ascii="Arial" w:hAnsi="Arial" w:cs="Arial"/>
          <w:color w:val="262626"/>
          <w:sz w:val="28"/>
          <w:szCs w:val="28"/>
        </w:rPr>
        <w:tab/>
      </w:r>
      <w:r>
        <w:rPr>
          <w:rFonts w:ascii="Arial" w:hAnsi="Arial" w:cs="Arial"/>
          <w:color w:val="262626"/>
          <w:sz w:val="28"/>
          <w:szCs w:val="28"/>
        </w:rPr>
        <w:tab/>
        <w:t xml:space="preserve">When an </w:t>
      </w:r>
      <w:hyperlink r:id="rId5" w:history="1">
        <w:r>
          <w:rPr>
            <w:rFonts w:ascii="Arial" w:hAnsi="Arial" w:cs="Arial"/>
            <w:color w:val="093C6D"/>
            <w:sz w:val="28"/>
            <w:szCs w:val="28"/>
          </w:rPr>
          <w:t>Open Skies agreement</w:t>
        </w:r>
      </w:hyperlink>
      <w:r>
        <w:rPr>
          <w:rFonts w:ascii="Arial" w:hAnsi="Arial" w:cs="Arial"/>
          <w:color w:val="262626"/>
          <w:sz w:val="28"/>
          <w:szCs w:val="28"/>
        </w:rPr>
        <w:t xml:space="preserve"> is in place (European Union (EU), Japan, Switzerland, and Australia). Use of a foreign carrier is allowed when transportation is between the U.S. and any point in the agreement member state or between two points outside the U.S. provided that:</w:t>
      </w:r>
    </w:p>
    <w:p w14:paraId="17AEBF72" w14:textId="77777777" w:rsidR="00C702A0" w:rsidRDefault="00C702A0" w:rsidP="00C702A0">
      <w:pPr>
        <w:widowControl w:val="0"/>
        <w:numPr>
          <w:ilvl w:val="1"/>
          <w:numId w:val="2"/>
        </w:numPr>
        <w:tabs>
          <w:tab w:val="left" w:pos="940"/>
          <w:tab w:val="left" w:pos="1440"/>
        </w:tabs>
        <w:autoSpaceDE w:val="0"/>
        <w:autoSpaceDN w:val="0"/>
        <w:adjustRightInd w:val="0"/>
        <w:spacing w:after="70"/>
        <w:ind w:hanging="1440"/>
        <w:rPr>
          <w:rFonts w:ascii="Arial" w:hAnsi="Arial" w:cs="Arial"/>
          <w:color w:val="262626"/>
          <w:sz w:val="28"/>
          <w:szCs w:val="28"/>
        </w:rPr>
      </w:pPr>
      <w:r>
        <w:rPr>
          <w:rFonts w:ascii="Arial" w:hAnsi="Arial" w:cs="Arial"/>
          <w:color w:val="262626"/>
          <w:sz w:val="28"/>
          <w:szCs w:val="28"/>
        </w:rPr>
        <w:t>Funding is not provided by the Secretary of Defense or the Secretary of a military department.</w:t>
      </w:r>
    </w:p>
    <w:p w14:paraId="25F33A6E" w14:textId="77777777" w:rsidR="00C702A0" w:rsidRDefault="00C702A0" w:rsidP="00C702A0">
      <w:pPr>
        <w:widowControl w:val="0"/>
        <w:numPr>
          <w:ilvl w:val="1"/>
          <w:numId w:val="2"/>
        </w:numPr>
        <w:tabs>
          <w:tab w:val="left" w:pos="940"/>
          <w:tab w:val="left" w:pos="1440"/>
        </w:tabs>
        <w:autoSpaceDE w:val="0"/>
        <w:autoSpaceDN w:val="0"/>
        <w:adjustRightInd w:val="0"/>
        <w:spacing w:after="70"/>
        <w:ind w:hanging="1440"/>
        <w:rPr>
          <w:rFonts w:ascii="Arial" w:hAnsi="Arial" w:cs="Arial"/>
          <w:color w:val="262626"/>
          <w:sz w:val="28"/>
          <w:szCs w:val="28"/>
        </w:rPr>
      </w:pPr>
      <w:r>
        <w:rPr>
          <w:rFonts w:ascii="Arial" w:hAnsi="Arial" w:cs="Arial"/>
          <w:color w:val="262626"/>
          <w:sz w:val="28"/>
          <w:szCs w:val="28"/>
        </w:rPr>
        <w:lastRenderedPageBreak/>
        <w:t>No city pair fare exists</w:t>
      </w:r>
    </w:p>
    <w:p w14:paraId="7F154268" w14:textId="77777777" w:rsidR="00C702A0" w:rsidRDefault="00C702A0" w:rsidP="00C702A0">
      <w:pPr>
        <w:widowControl w:val="0"/>
        <w:numPr>
          <w:ilvl w:val="2"/>
          <w:numId w:val="2"/>
        </w:numPr>
        <w:tabs>
          <w:tab w:val="left" w:pos="1660"/>
          <w:tab w:val="left" w:pos="2160"/>
        </w:tabs>
        <w:autoSpaceDE w:val="0"/>
        <w:autoSpaceDN w:val="0"/>
        <w:adjustRightInd w:val="0"/>
        <w:spacing w:after="70"/>
        <w:ind w:hanging="2160"/>
        <w:rPr>
          <w:rFonts w:ascii="Arial" w:hAnsi="Arial" w:cs="Arial"/>
          <w:color w:val="262626"/>
          <w:sz w:val="28"/>
          <w:szCs w:val="28"/>
        </w:rPr>
      </w:pPr>
      <w:r>
        <w:rPr>
          <w:rFonts w:ascii="Arial" w:hAnsi="Arial" w:cs="Arial"/>
          <w:color w:val="262626"/>
          <w:sz w:val="28"/>
          <w:szCs w:val="28"/>
        </w:rPr>
        <w:t>For the EU agreement, a non-U.S. government employee traveler is exempt from the city pair fare requirement, i.e. a foreign carrier may be used for travel to any point outside the U.S. but must land in an EU Open Skies agreement member state before traveling beyond the member states.</w:t>
      </w:r>
    </w:p>
    <w:p w14:paraId="6DA195AD" w14:textId="77777777" w:rsidR="00C702A0" w:rsidRDefault="00C702A0" w:rsidP="00C702A0">
      <w:pPr>
        <w:widowControl w:val="0"/>
        <w:autoSpaceDE w:val="0"/>
        <w:autoSpaceDN w:val="0"/>
        <w:adjustRightInd w:val="0"/>
        <w:spacing w:after="280"/>
        <w:ind w:left="1200"/>
        <w:rPr>
          <w:rFonts w:ascii="Arial" w:hAnsi="Arial" w:cs="Arial"/>
          <w:color w:val="262626"/>
          <w:sz w:val="28"/>
          <w:szCs w:val="28"/>
        </w:rPr>
      </w:pPr>
      <w:r>
        <w:rPr>
          <w:rFonts w:ascii="Arial" w:hAnsi="Arial" w:cs="Arial"/>
          <w:color w:val="262626"/>
          <w:sz w:val="28"/>
          <w:szCs w:val="28"/>
        </w:rPr>
        <w:t xml:space="preserve">How to check if a city pair fare exists: Review the </w:t>
      </w:r>
      <w:hyperlink r:id="rId6" w:history="1">
        <w:r>
          <w:rPr>
            <w:rFonts w:ascii="Arial" w:hAnsi="Arial" w:cs="Arial"/>
            <w:color w:val="093C6D"/>
            <w:sz w:val="28"/>
            <w:szCs w:val="28"/>
          </w:rPr>
          <w:t>fare finder</w:t>
        </w:r>
      </w:hyperlink>
      <w:r>
        <w:rPr>
          <w:rFonts w:ascii="Arial" w:hAnsi="Arial" w:cs="Arial"/>
          <w:color w:val="262626"/>
          <w:sz w:val="28"/>
          <w:szCs w:val="28"/>
        </w:rPr>
        <w:t>. If no city pair exists the fare finder response reads “Awards not found for the given criteria.”</w:t>
      </w:r>
    </w:p>
    <w:p w14:paraId="6AF7FE76" w14:textId="77777777" w:rsidR="00C702A0" w:rsidRDefault="00C702A0" w:rsidP="00C702A0">
      <w:pPr>
        <w:widowControl w:val="0"/>
        <w:autoSpaceDE w:val="0"/>
        <w:autoSpaceDN w:val="0"/>
        <w:adjustRightInd w:val="0"/>
        <w:spacing w:after="280"/>
        <w:rPr>
          <w:rFonts w:ascii="Arial" w:hAnsi="Arial" w:cs="Arial"/>
          <w:color w:val="262626"/>
          <w:sz w:val="28"/>
          <w:szCs w:val="28"/>
        </w:rPr>
      </w:pPr>
      <w:r>
        <w:rPr>
          <w:rFonts w:ascii="Arial" w:hAnsi="Arial" w:cs="Arial"/>
          <w:b/>
          <w:bCs/>
          <w:color w:val="262626"/>
          <w:sz w:val="28"/>
          <w:szCs w:val="28"/>
        </w:rPr>
        <w:t>Note:</w:t>
      </w:r>
      <w:r>
        <w:rPr>
          <w:rFonts w:ascii="Arial" w:hAnsi="Arial" w:cs="Arial"/>
          <w:color w:val="262626"/>
          <w:sz w:val="28"/>
          <w:szCs w:val="28"/>
        </w:rPr>
        <w:t xml:space="preserve"> When one or more of the above circumstances apply, an explanation indicating the appropriate exception must be provided on the travel request.</w:t>
      </w:r>
    </w:p>
    <w:p w14:paraId="46E9F55E" w14:textId="77777777" w:rsidR="00C702A0" w:rsidRDefault="00C702A0" w:rsidP="00C702A0">
      <w:pPr>
        <w:widowControl w:val="0"/>
        <w:autoSpaceDE w:val="0"/>
        <w:autoSpaceDN w:val="0"/>
        <w:adjustRightInd w:val="0"/>
        <w:spacing w:after="280"/>
        <w:rPr>
          <w:rFonts w:ascii="Arial" w:hAnsi="Arial" w:cs="Arial"/>
          <w:color w:val="262626"/>
          <w:sz w:val="28"/>
          <w:szCs w:val="28"/>
        </w:rPr>
      </w:pPr>
      <w:r>
        <w:rPr>
          <w:rFonts w:ascii="Arial" w:hAnsi="Arial" w:cs="Arial"/>
          <w:b/>
          <w:bCs/>
          <w:color w:val="262626"/>
          <w:sz w:val="28"/>
          <w:szCs w:val="28"/>
        </w:rPr>
        <w:t>Code-sharing agreements</w:t>
      </w:r>
      <w:r>
        <w:rPr>
          <w:rFonts w:ascii="Arial" w:hAnsi="Arial" w:cs="Arial"/>
          <w:color w:val="262626"/>
          <w:sz w:val="28"/>
          <w:szCs w:val="28"/>
        </w:rPr>
        <w:t xml:space="preserve"> with foreign air carriers comply with the Fly America Act Regulations. The ticket, or documentation for an electronic ticket, must identify the U.S. carrier's designator code and flight number generally stated as “U.S. Air Carrier flight XXXX operated by Foreign Air Carrier.” For example:</w:t>
      </w:r>
    </w:p>
    <w:p w14:paraId="187704C5" w14:textId="77777777" w:rsidR="00C702A0" w:rsidRDefault="00C702A0" w:rsidP="00C702A0">
      <w:pPr>
        <w:widowControl w:val="0"/>
        <w:numPr>
          <w:ilvl w:val="0"/>
          <w:numId w:val="3"/>
        </w:numPr>
        <w:tabs>
          <w:tab w:val="left" w:pos="220"/>
          <w:tab w:val="left" w:pos="720"/>
        </w:tabs>
        <w:autoSpaceDE w:val="0"/>
        <w:autoSpaceDN w:val="0"/>
        <w:adjustRightInd w:val="0"/>
        <w:spacing w:after="70"/>
        <w:ind w:hanging="720"/>
        <w:rPr>
          <w:rFonts w:ascii="Arial" w:hAnsi="Arial" w:cs="Arial"/>
          <w:color w:val="262626"/>
          <w:sz w:val="28"/>
          <w:szCs w:val="28"/>
        </w:rPr>
      </w:pPr>
      <w:r>
        <w:rPr>
          <w:rFonts w:ascii="Arial" w:hAnsi="Arial" w:cs="Arial"/>
          <w:b/>
          <w:bCs/>
          <w:i/>
          <w:iCs/>
          <w:color w:val="262626"/>
          <w:sz w:val="28"/>
          <w:szCs w:val="28"/>
        </w:rPr>
        <w:tab/>
      </w:r>
      <w:r>
        <w:rPr>
          <w:rFonts w:ascii="Arial" w:hAnsi="Arial" w:cs="Arial"/>
          <w:b/>
          <w:bCs/>
          <w:i/>
          <w:iCs/>
          <w:color w:val="262626"/>
          <w:sz w:val="28"/>
          <w:szCs w:val="28"/>
        </w:rPr>
        <w:tab/>
        <w:t>Allowable:</w:t>
      </w:r>
      <w:r>
        <w:rPr>
          <w:rFonts w:ascii="Arial" w:hAnsi="Arial" w:cs="Arial"/>
          <w:color w:val="262626"/>
          <w:sz w:val="28"/>
          <w:szCs w:val="28"/>
        </w:rPr>
        <w:t xml:space="preserve"> American Airlines (AA) 1234 operated by Quantas Airways (QF) 4321</w:t>
      </w:r>
    </w:p>
    <w:p w14:paraId="28FEC971" w14:textId="77777777" w:rsidR="00CB7FDC" w:rsidRDefault="00C702A0" w:rsidP="00C702A0">
      <w:pPr>
        <w:widowControl w:val="0"/>
        <w:numPr>
          <w:ilvl w:val="0"/>
          <w:numId w:val="3"/>
        </w:numPr>
        <w:tabs>
          <w:tab w:val="left" w:pos="220"/>
          <w:tab w:val="left" w:pos="720"/>
        </w:tabs>
        <w:autoSpaceDE w:val="0"/>
        <w:autoSpaceDN w:val="0"/>
        <w:adjustRightInd w:val="0"/>
        <w:spacing w:after="70"/>
        <w:ind w:hanging="720"/>
        <w:rPr>
          <w:rFonts w:ascii="Arial" w:hAnsi="Arial" w:cs="Arial"/>
          <w:color w:val="262626"/>
          <w:sz w:val="28"/>
          <w:szCs w:val="28"/>
        </w:rPr>
      </w:pPr>
      <w:r>
        <w:rPr>
          <w:rFonts w:ascii="Arial" w:hAnsi="Arial" w:cs="Arial"/>
          <w:b/>
          <w:bCs/>
          <w:i/>
          <w:iCs/>
          <w:color w:val="262626"/>
          <w:sz w:val="28"/>
          <w:szCs w:val="28"/>
        </w:rPr>
        <w:tab/>
      </w:r>
      <w:r>
        <w:rPr>
          <w:rFonts w:ascii="Arial" w:hAnsi="Arial" w:cs="Arial"/>
          <w:b/>
          <w:bCs/>
          <w:i/>
          <w:iCs/>
          <w:color w:val="262626"/>
          <w:sz w:val="28"/>
          <w:szCs w:val="28"/>
        </w:rPr>
        <w:tab/>
        <w:t>Unallowable:</w:t>
      </w:r>
      <w:r>
        <w:rPr>
          <w:rFonts w:ascii="Arial" w:hAnsi="Arial" w:cs="Arial"/>
          <w:color w:val="262626"/>
          <w:sz w:val="28"/>
          <w:szCs w:val="28"/>
        </w:rPr>
        <w:t xml:space="preserve"> QF 4321 operated by AA 1234</w:t>
      </w:r>
    </w:p>
    <w:p w14:paraId="5182BFA7" w14:textId="77777777" w:rsidR="00C702A0" w:rsidRDefault="00C702A0" w:rsidP="00C702A0">
      <w:pPr>
        <w:widowControl w:val="0"/>
        <w:numPr>
          <w:ilvl w:val="0"/>
          <w:numId w:val="3"/>
        </w:numPr>
        <w:tabs>
          <w:tab w:val="left" w:pos="220"/>
          <w:tab w:val="left" w:pos="720"/>
        </w:tabs>
        <w:autoSpaceDE w:val="0"/>
        <w:autoSpaceDN w:val="0"/>
        <w:adjustRightInd w:val="0"/>
        <w:spacing w:after="70"/>
        <w:ind w:hanging="720"/>
        <w:rPr>
          <w:rFonts w:ascii="Arial" w:hAnsi="Arial" w:cs="Arial"/>
          <w:color w:val="262626"/>
          <w:sz w:val="28"/>
          <w:szCs w:val="28"/>
        </w:rPr>
      </w:pPr>
    </w:p>
    <w:p w14:paraId="1FFF4E13" w14:textId="77777777" w:rsidR="00C702A0" w:rsidRPr="00C702A0" w:rsidRDefault="00C702A0" w:rsidP="00C702A0">
      <w:pPr>
        <w:rPr>
          <w:sz w:val="28"/>
        </w:rPr>
      </w:pPr>
      <w:r>
        <w:rPr>
          <w:rFonts w:ascii="Arial" w:hAnsi="Arial" w:cs="Arial"/>
          <w:b/>
          <w:bCs/>
          <w:color w:val="262626"/>
          <w:sz w:val="28"/>
          <w:szCs w:val="28"/>
        </w:rPr>
        <w:t>Note:</w:t>
      </w:r>
      <w:r>
        <w:rPr>
          <w:rFonts w:ascii="Arial" w:hAnsi="Arial" w:cs="Arial"/>
          <w:color w:val="262626"/>
          <w:sz w:val="28"/>
          <w:szCs w:val="28"/>
        </w:rPr>
        <w:t xml:space="preserve"> Some funding sources may not recognize code-sharing as being compliant with Fly America Act regulations. When fund source policy is more restrictive than UC travel policy, the more restrictive policy applies.</w:t>
      </w:r>
    </w:p>
    <w:sectPr w:rsidR="00C702A0" w:rsidRPr="00C702A0" w:rsidSect="00C702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A0"/>
    <w:rsid w:val="007546AD"/>
    <w:rsid w:val="00A965A5"/>
    <w:rsid w:val="00C702A0"/>
    <w:rsid w:val="00CB7F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DDA88"/>
  <w15:docId w15:val="{558B5AEB-F359-4868-B9AD-95EEB0F8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search.fas.gsa.gov/cpsearch/search.do?method=enter" TargetMode="External"/><Relationship Id="rId5" Type="http://schemas.openxmlformats.org/officeDocument/2006/relationships/hyperlink" Target="http://www.gsa.gov/portal/content/1031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Castro</dc:creator>
  <cp:keywords/>
  <cp:lastModifiedBy>Karrie Andre</cp:lastModifiedBy>
  <cp:revision>2</cp:revision>
  <dcterms:created xsi:type="dcterms:W3CDTF">2014-06-23T23:11:00Z</dcterms:created>
  <dcterms:modified xsi:type="dcterms:W3CDTF">2014-06-23T23:11:00Z</dcterms:modified>
</cp:coreProperties>
</file>